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0BCB66A4" w:rsidR="00520D45" w:rsidRDefault="00520D45"/>
    <w:p w14:paraId="26AF0C0C" w14:textId="77777777" w:rsidR="00DF624B" w:rsidRDefault="00DF624B" w:rsidP="00DF624B">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G</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Lien for Assessments</w:t>
      </w:r>
    </w:p>
    <w:p w14:paraId="246DFEC1" w14:textId="77777777" w:rsidR="00DF624B" w:rsidRDefault="00DF624B" w:rsidP="00DF624B">
      <w:pPr>
        <w:spacing w:after="0" w:line="240" w:lineRule="auto"/>
        <w:rPr>
          <w:rFonts w:ascii="Times New Roman" w:eastAsia="Times New Roman" w:hAnsi="Times New Roman" w:cs="Times New Roman"/>
          <w:b/>
          <w:bCs/>
          <w:sz w:val="24"/>
          <w:szCs w:val="24"/>
          <w:u w:val="single"/>
        </w:rPr>
      </w:pPr>
    </w:p>
    <w:p w14:paraId="2AD2F626" w14:textId="77777777" w:rsidR="00DF624B" w:rsidRDefault="00DF624B" w:rsidP="00DF624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Any general or special assessment, if not paid without thirty (30) days after the date of such assessment is due, together with interest at the rate of ten percent (10%) per annum, costs of collection, court cost, and reasonable attorneys’ fees shall constitute a lien against the lot upon which such assessment is levied. The corporation may record notice of the same in the office of the clerk of superior court of Craven County or file a suit to collect such delinquent assessments and charges. The corporation may file notice of Lis </w:t>
      </w:r>
      <w:proofErr w:type="spellStart"/>
      <w:proofErr w:type="gramStart"/>
      <w:r>
        <w:rPr>
          <w:rFonts w:ascii="Times New Roman" w:eastAsia="Times New Roman" w:hAnsi="Times New Roman" w:cs="Times New Roman"/>
          <w:bCs/>
          <w:sz w:val="24"/>
          <w:szCs w:val="24"/>
        </w:rPr>
        <w:t>Pendens,bring</w:t>
      </w:r>
      <w:proofErr w:type="spellEnd"/>
      <w:proofErr w:type="gramEnd"/>
      <w:r>
        <w:rPr>
          <w:rFonts w:ascii="Times New Roman" w:eastAsia="Times New Roman" w:hAnsi="Times New Roman" w:cs="Times New Roman"/>
          <w:bCs/>
          <w:sz w:val="24"/>
          <w:szCs w:val="24"/>
        </w:rPr>
        <w:t xml:space="preserve"> an action at law against the owner personally obligated to pay the same and/or bring an action to foreclose the lien against the property. No owner may waive or otherwise escape liability for the assessments provided for herein.</w:t>
      </w:r>
    </w:p>
    <w:p w14:paraId="152D6624" w14:textId="77777777" w:rsidR="00C77040" w:rsidRDefault="00C77040">
      <w:bookmarkStart w:id="0" w:name="_GoBack"/>
      <w:bookmarkEnd w:id="0"/>
    </w:p>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CAEFC" w14:textId="77777777" w:rsidR="006001E2" w:rsidRDefault="006001E2" w:rsidP="00B664FF">
      <w:pPr>
        <w:spacing w:after="0" w:line="240" w:lineRule="auto"/>
      </w:pPr>
      <w:r>
        <w:separator/>
      </w:r>
    </w:p>
  </w:endnote>
  <w:endnote w:type="continuationSeparator" w:id="0">
    <w:p w14:paraId="3C56D242" w14:textId="77777777" w:rsidR="006001E2" w:rsidRDefault="006001E2"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1CC7" w14:textId="77777777" w:rsidR="006001E2" w:rsidRDefault="006001E2" w:rsidP="00B664FF">
      <w:pPr>
        <w:spacing w:after="0" w:line="240" w:lineRule="auto"/>
      </w:pPr>
      <w:r>
        <w:separator/>
      </w:r>
    </w:p>
  </w:footnote>
  <w:footnote w:type="continuationSeparator" w:id="0">
    <w:p w14:paraId="51A51CE4" w14:textId="77777777" w:rsidR="006001E2" w:rsidRDefault="006001E2"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151C0E"/>
    <w:rsid w:val="002F7665"/>
    <w:rsid w:val="00520D45"/>
    <w:rsid w:val="00592B1B"/>
    <w:rsid w:val="006001E2"/>
    <w:rsid w:val="00B664FF"/>
    <w:rsid w:val="00C77040"/>
    <w:rsid w:val="00D57484"/>
    <w:rsid w:val="00DF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2018-12-22T03:09:00Z</dcterms:created>
  <dcterms:modified xsi:type="dcterms:W3CDTF">2018-12-22T03:09:00Z</dcterms:modified>
</cp:coreProperties>
</file>