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15C4F81A" w:rsidR="00520D45" w:rsidRDefault="00520D45"/>
    <w:p w14:paraId="66ADC1EB" w14:textId="77777777" w:rsidR="00230693" w:rsidRDefault="00230693" w:rsidP="00230693">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O</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Duration, Amendment and Termination</w:t>
      </w:r>
    </w:p>
    <w:p w14:paraId="32F54B22" w14:textId="77777777" w:rsidR="00230693" w:rsidRDefault="00230693" w:rsidP="00230693">
      <w:pPr>
        <w:spacing w:after="0" w:line="240" w:lineRule="auto"/>
        <w:rPr>
          <w:rFonts w:ascii="Times New Roman" w:eastAsia="Times New Roman" w:hAnsi="Times New Roman" w:cs="Times New Roman"/>
          <w:b/>
          <w:bCs/>
          <w:sz w:val="24"/>
          <w:szCs w:val="24"/>
          <w:u w:val="single"/>
        </w:rPr>
      </w:pPr>
    </w:p>
    <w:p w14:paraId="07502D5F" w14:textId="77777777" w:rsidR="00230693" w:rsidRPr="00F150ED" w:rsidRDefault="00230693" w:rsidP="00230693">
      <w:pPr>
        <w:pStyle w:val="ListParagraph"/>
        <w:numPr>
          <w:ilvl w:val="0"/>
          <w:numId w:val="4"/>
        </w:numPr>
        <w:spacing w:after="0" w:line="240" w:lineRule="auto"/>
        <w:rPr>
          <w:rFonts w:ascii="Times New Roman" w:eastAsia="Times New Roman" w:hAnsi="Times New Roman" w:cs="Times New Roman"/>
          <w:bCs/>
          <w:sz w:val="24"/>
          <w:szCs w:val="24"/>
        </w:rPr>
      </w:pPr>
      <w:r w:rsidRPr="00F150ED">
        <w:rPr>
          <w:rFonts w:ascii="Times New Roman" w:eastAsia="Times New Roman" w:hAnsi="Times New Roman" w:cs="Times New Roman"/>
          <w:bCs/>
          <w:color w:val="4472C4" w:themeColor="accent1"/>
          <w:sz w:val="24"/>
          <w:szCs w:val="24"/>
          <w:u w:val="single"/>
        </w:rPr>
        <w:t>Changes to Declaration</w:t>
      </w:r>
      <w:r w:rsidRPr="00F150ED">
        <w:rPr>
          <w:rFonts w:ascii="Times New Roman" w:eastAsia="Times New Roman" w:hAnsi="Times New Roman" w:cs="Times New Roman"/>
          <w:bCs/>
          <w:color w:val="4472C4" w:themeColor="accent1"/>
          <w:sz w:val="24"/>
          <w:szCs w:val="24"/>
        </w:rPr>
        <w:t xml:space="preserve"> </w:t>
      </w:r>
      <w:r w:rsidRPr="00F150ED">
        <w:rPr>
          <w:rFonts w:ascii="Times New Roman" w:eastAsia="Times New Roman" w:hAnsi="Times New Roman" w:cs="Times New Roman"/>
          <w:bCs/>
          <w:sz w:val="24"/>
          <w:szCs w:val="24"/>
        </w:rPr>
        <w:t xml:space="preserve">The covenants and restrictions contained in the declaration shall run with and bind the land until December 31, 2024. The declarant herein reserves the right to amend these declarations and restrictions until December 31, 2024. After that date, these declarations and restrictions may be amended in full or in part prior only by an instrument signed by not less than two-thirds (2/3) of each class of members. No amendment shall alter any obligation to pay as valorem taxes on the common areas or assessments for street lighting as herein provided, or affect any lien for the payment of same. Further, no such amendment shall affect the rights of declarants unless such party executes the amendment. </w:t>
      </w:r>
    </w:p>
    <w:p w14:paraId="29E95D12" w14:textId="77777777" w:rsidR="00230693" w:rsidRPr="00F150ED" w:rsidRDefault="00230693" w:rsidP="00230693">
      <w:pPr>
        <w:pStyle w:val="ListParagraph"/>
        <w:numPr>
          <w:ilvl w:val="0"/>
          <w:numId w:val="4"/>
        </w:numPr>
        <w:spacing w:after="0" w:line="240" w:lineRule="auto"/>
        <w:rPr>
          <w:rFonts w:ascii="Times New Roman" w:eastAsia="Times New Roman" w:hAnsi="Times New Roman" w:cs="Times New Roman"/>
          <w:bCs/>
          <w:sz w:val="24"/>
          <w:szCs w:val="24"/>
        </w:rPr>
      </w:pPr>
      <w:r w:rsidRPr="00F150ED">
        <w:rPr>
          <w:rFonts w:ascii="Times New Roman" w:eastAsia="Times New Roman" w:hAnsi="Times New Roman" w:cs="Times New Roman"/>
          <w:bCs/>
          <w:color w:val="4472C4" w:themeColor="accent1"/>
          <w:sz w:val="24"/>
          <w:szCs w:val="24"/>
          <w:u w:val="single"/>
        </w:rPr>
        <w:t>Cancelation of Part Covenants</w:t>
      </w:r>
      <w:r w:rsidRPr="00F150ED">
        <w:rPr>
          <w:rFonts w:ascii="Times New Roman" w:eastAsia="Times New Roman" w:hAnsi="Times New Roman" w:cs="Times New Roman"/>
          <w:bCs/>
          <w:color w:val="4472C4" w:themeColor="accent1"/>
          <w:sz w:val="24"/>
          <w:szCs w:val="24"/>
        </w:rPr>
        <w:t xml:space="preserve"> </w:t>
      </w:r>
      <w:r w:rsidRPr="00F150ED">
        <w:rPr>
          <w:rFonts w:ascii="Times New Roman" w:eastAsia="Times New Roman" w:hAnsi="Times New Roman" w:cs="Times New Roman"/>
          <w:bCs/>
          <w:sz w:val="24"/>
          <w:szCs w:val="24"/>
        </w:rPr>
        <w:t xml:space="preserve">Invalidation of any one of these covenants or restrictions by judgement or court order shall in no way affect any other provisions which shall remain in full force and effect. </w:t>
      </w:r>
    </w:p>
    <w:p w14:paraId="78A440EB" w14:textId="77777777" w:rsidR="00230693" w:rsidRPr="00F150ED" w:rsidRDefault="00230693" w:rsidP="00230693">
      <w:pPr>
        <w:pStyle w:val="ListParagraph"/>
        <w:numPr>
          <w:ilvl w:val="0"/>
          <w:numId w:val="4"/>
        </w:numPr>
        <w:spacing w:after="0" w:line="240" w:lineRule="auto"/>
        <w:rPr>
          <w:rFonts w:ascii="Times New Roman" w:eastAsia="Times New Roman" w:hAnsi="Times New Roman" w:cs="Times New Roman"/>
          <w:bCs/>
          <w:sz w:val="24"/>
          <w:szCs w:val="24"/>
        </w:rPr>
      </w:pPr>
      <w:r w:rsidRPr="00F150ED">
        <w:rPr>
          <w:rFonts w:ascii="Times New Roman" w:eastAsia="Times New Roman" w:hAnsi="Times New Roman" w:cs="Times New Roman"/>
          <w:bCs/>
          <w:color w:val="4472C4" w:themeColor="accent1"/>
          <w:sz w:val="24"/>
          <w:szCs w:val="24"/>
          <w:u w:val="single"/>
        </w:rPr>
        <w:t>Developer May Amend</w:t>
      </w:r>
      <w:r w:rsidRPr="00F150ED">
        <w:rPr>
          <w:rFonts w:ascii="Times New Roman" w:eastAsia="Times New Roman" w:hAnsi="Times New Roman" w:cs="Times New Roman"/>
          <w:bCs/>
          <w:color w:val="4472C4" w:themeColor="accent1"/>
          <w:sz w:val="24"/>
          <w:szCs w:val="24"/>
        </w:rPr>
        <w:t xml:space="preserve"> </w:t>
      </w:r>
      <w:r w:rsidRPr="00F150ED">
        <w:rPr>
          <w:rFonts w:ascii="Times New Roman" w:eastAsia="Times New Roman" w:hAnsi="Times New Roman" w:cs="Times New Roman"/>
          <w:bCs/>
          <w:sz w:val="24"/>
          <w:szCs w:val="24"/>
        </w:rPr>
        <w:t>Notwithstanding any other provision of this document, declarant may amend this instrument without the joinder or consent of any other person or entity if such amendment is required by any governmental agency for governmental approval.</w:t>
      </w:r>
    </w:p>
    <w:p w14:paraId="406EBDBC" w14:textId="77777777" w:rsidR="00074EBD" w:rsidRDefault="00074EBD">
      <w:bookmarkStart w:id="0" w:name="_GoBack"/>
      <w:bookmarkEnd w:id="0"/>
    </w:p>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84D7" w14:textId="77777777" w:rsidR="00386676" w:rsidRDefault="00386676" w:rsidP="00B664FF">
      <w:pPr>
        <w:spacing w:after="0" w:line="240" w:lineRule="auto"/>
      </w:pPr>
      <w:r>
        <w:separator/>
      </w:r>
    </w:p>
  </w:endnote>
  <w:endnote w:type="continuationSeparator" w:id="0">
    <w:p w14:paraId="60FF8E96" w14:textId="77777777" w:rsidR="00386676" w:rsidRDefault="00386676"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138C" w14:textId="77777777" w:rsidR="00386676" w:rsidRDefault="00386676" w:rsidP="00B664FF">
      <w:pPr>
        <w:spacing w:after="0" w:line="240" w:lineRule="auto"/>
      </w:pPr>
      <w:r>
        <w:separator/>
      </w:r>
    </w:p>
  </w:footnote>
  <w:footnote w:type="continuationSeparator" w:id="0">
    <w:p w14:paraId="7655E262" w14:textId="77777777" w:rsidR="00386676" w:rsidRDefault="00386676"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C55CF"/>
    <w:multiLevelType w:val="hybridMultilevel"/>
    <w:tmpl w:val="3ADC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30693"/>
    <w:rsid w:val="002F7665"/>
    <w:rsid w:val="00386676"/>
    <w:rsid w:val="004378EB"/>
    <w:rsid w:val="00520D45"/>
    <w:rsid w:val="00592B1B"/>
    <w:rsid w:val="006611AE"/>
    <w:rsid w:val="00796512"/>
    <w:rsid w:val="007C17F6"/>
    <w:rsid w:val="007C71E6"/>
    <w:rsid w:val="007E313D"/>
    <w:rsid w:val="00A0411E"/>
    <w:rsid w:val="00A4094A"/>
    <w:rsid w:val="00B664FF"/>
    <w:rsid w:val="00C77040"/>
    <w:rsid w:val="00D57484"/>
    <w:rsid w:val="00DF624B"/>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2018-12-22T03:15:00Z</dcterms:created>
  <dcterms:modified xsi:type="dcterms:W3CDTF">2018-12-22T03:15:00Z</dcterms:modified>
</cp:coreProperties>
</file>